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CC" w:rsidRPr="00FD1ECC" w:rsidRDefault="009A1ECC" w:rsidP="009A1EC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9A1ECC" w:rsidRPr="00FD1ECC" w:rsidRDefault="009A1ECC" w:rsidP="009A1EC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9A1ECC" w:rsidRDefault="009A1ECC" w:rsidP="009A1ECC">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349.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Pr>
          <w:rFonts w:ascii="Calibri" w:hAnsi="Calibri" w:cs="Calibri"/>
          <w:color w:val="0000B0"/>
          <w:sz w:val="28"/>
          <w:szCs w:val="28"/>
        </w:rPr>
        <w:t>İslam ve İman Hususundaki Bir Suale Cevab</w:t>
      </w:r>
      <w:r>
        <w:rPr>
          <w:rStyle w:val="FootnoteReference"/>
          <w:rFonts w:ascii="Calibri" w:hAnsi="Calibri" w:cs="Calibri"/>
          <w:color w:val="0000B0"/>
          <w:sz w:val="28"/>
          <w:szCs w:val="28"/>
        </w:rPr>
        <w:footnoteReference w:id="2"/>
      </w:r>
    </w:p>
    <w:p w:rsidR="009A1ECC" w:rsidRPr="009A1ECC" w:rsidRDefault="009A1ECC" w:rsidP="009A1ECC">
      <w:pPr>
        <w:spacing w:before="120" w:after="0" w:line="240" w:lineRule="auto"/>
        <w:jc w:val="both"/>
        <w:rPr>
          <w:sz w:val="24"/>
          <w:szCs w:val="24"/>
        </w:rPr>
      </w:pPr>
      <w:r w:rsidRPr="009A1ECC">
        <w:rPr>
          <w:sz w:val="24"/>
          <w:szCs w:val="24"/>
        </w:rPr>
        <w:t>Aziz, sıddık ve ziyade müteharri ve müstefsir kardeşim Re'fet Bey!</w:t>
      </w:r>
    </w:p>
    <w:p w:rsidR="009A1ECC" w:rsidRDefault="009A1ECC" w:rsidP="009A1ECC">
      <w:pPr>
        <w:spacing w:before="120" w:after="0" w:line="240" w:lineRule="auto"/>
        <w:jc w:val="both"/>
        <w:rPr>
          <w:sz w:val="24"/>
          <w:szCs w:val="24"/>
        </w:rPr>
      </w:pPr>
      <w:r w:rsidRPr="009A1ECC">
        <w:rPr>
          <w:sz w:val="24"/>
          <w:szCs w:val="24"/>
        </w:rPr>
        <w:t>Senin faik zekân ve dikkatin, sorduğun suallerin çoğuna cevab verebildiği için, muhtasar cevab veriyorum, gücenme. Seninle çendan konuşmak istiyorum, fakat vaktim müsaadesizdir. Müslim-i gayr-ı mü'min ve mü'min-i gayr-ı müslimin manası şudur ki: Bidayet-i Hürriyette İttihadçılar içine girmiş dinsizleri görüyordum ki; İslâmiyet ve şeriat-ı Ahmediye, hayat-ı içtimaiye-i beşeriye ve bilhâssa siyaset-i Osmaniye için, gayet nâfi' ve kıymetdar desatir-i âliyeyi câmi' olduğunu kabul edip, bütün kuvvetleriyle şeriat-ı Ahmediyeye tarafdar idiler. O noktada müslüman, yani iltizam-ı hak</w:t>
      </w:r>
      <w:r>
        <w:rPr>
          <w:rStyle w:val="FootnoteReference"/>
          <w:sz w:val="24"/>
          <w:szCs w:val="24"/>
        </w:rPr>
        <w:footnoteReference w:id="3"/>
      </w:r>
      <w:r w:rsidRPr="009A1ECC">
        <w:rPr>
          <w:sz w:val="24"/>
          <w:szCs w:val="24"/>
        </w:rPr>
        <w:t xml:space="preserve"> ve hak tarafdarı oldukları halde mü'min değildiler; demek müslim-i gayr-ı mü'min ıtlakına istihkak kesbediyordular. Şimdi ise firenk usûlünün ve medeniyet namı altında bid'atkârane</w:t>
      </w:r>
      <w:r>
        <w:rPr>
          <w:rStyle w:val="FootnoteReference"/>
          <w:sz w:val="24"/>
          <w:szCs w:val="24"/>
        </w:rPr>
        <w:footnoteReference w:id="4"/>
      </w:r>
      <w:r w:rsidRPr="009A1ECC">
        <w:rPr>
          <w:sz w:val="24"/>
          <w:szCs w:val="24"/>
        </w:rPr>
        <w:t xml:space="preserve"> ve şeriatşikenane cereyanlara tarafdar olduğu halde</w:t>
      </w:r>
      <w:r w:rsidR="0032744D">
        <w:rPr>
          <w:rStyle w:val="FootnoteReference"/>
          <w:sz w:val="24"/>
          <w:szCs w:val="24"/>
        </w:rPr>
        <w:footnoteReference w:id="5"/>
      </w:r>
      <w:r w:rsidRPr="009A1ECC">
        <w:rPr>
          <w:sz w:val="24"/>
          <w:szCs w:val="24"/>
        </w:rPr>
        <w:t>; Allah'a, âhirete, Peygamber'e imanı da taşıyor ve kendini de mü'min biliyor.</w:t>
      </w:r>
      <w:r>
        <w:rPr>
          <w:rStyle w:val="FootnoteReference"/>
          <w:sz w:val="24"/>
          <w:szCs w:val="24"/>
        </w:rPr>
        <w:footnoteReference w:id="6"/>
      </w:r>
      <w:r w:rsidRPr="009A1ECC">
        <w:rPr>
          <w:sz w:val="24"/>
          <w:szCs w:val="24"/>
        </w:rPr>
        <w:t xml:space="preserve"> Madem hak ve hakikat olan şeriat-ı Ahmediyenin kavaninini iltizam etmiyor ve hakikî tarafgirlik etmiyor, gayr-ı müslim bir mü'min oluyor. İmansız İslâmiyet sebeb-i necat olmadığı gibi, bilerek</w:t>
      </w:r>
      <w:r>
        <w:rPr>
          <w:rStyle w:val="FootnoteReference"/>
          <w:sz w:val="24"/>
          <w:szCs w:val="24"/>
        </w:rPr>
        <w:footnoteReference w:id="7"/>
      </w:r>
      <w:r w:rsidRPr="009A1ECC">
        <w:rPr>
          <w:sz w:val="24"/>
          <w:szCs w:val="24"/>
        </w:rPr>
        <w:t xml:space="preserve"> İslâmiyetsiz iman dahi dayanamıyor, belki necat veremiyor, denilebilir.</w:t>
      </w:r>
      <w:r>
        <w:rPr>
          <w:rStyle w:val="FootnoteReference"/>
          <w:sz w:val="24"/>
          <w:szCs w:val="24"/>
        </w:rPr>
        <w:footnoteReference w:id="8"/>
      </w:r>
    </w:p>
    <w:sectPr w:rsidR="009A1ECC"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79" w:rsidRDefault="00446679" w:rsidP="009A1ECC">
      <w:pPr>
        <w:spacing w:after="0" w:line="240" w:lineRule="auto"/>
      </w:pPr>
      <w:r>
        <w:separator/>
      </w:r>
    </w:p>
  </w:endnote>
  <w:endnote w:type="continuationSeparator" w:id="1">
    <w:p w:rsidR="00446679" w:rsidRDefault="00446679" w:rsidP="009A1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79" w:rsidRDefault="00446679" w:rsidP="009A1ECC">
      <w:pPr>
        <w:spacing w:after="0" w:line="240" w:lineRule="auto"/>
      </w:pPr>
      <w:r>
        <w:separator/>
      </w:r>
    </w:p>
  </w:footnote>
  <w:footnote w:type="continuationSeparator" w:id="1">
    <w:p w:rsidR="00446679" w:rsidRDefault="00446679" w:rsidP="009A1ECC">
      <w:pPr>
        <w:spacing w:after="0" w:line="240" w:lineRule="auto"/>
      </w:pPr>
      <w:r>
        <w:continuationSeparator/>
      </w:r>
    </w:p>
  </w:footnote>
  <w:footnote w:id="2">
    <w:p w:rsidR="009A1ECC" w:rsidRPr="004903B0" w:rsidRDefault="009A1ECC" w:rsidP="0032744D">
      <w:pPr>
        <w:pStyle w:val="FootnoteText"/>
        <w:spacing w:before="120"/>
        <w:jc w:val="both"/>
        <w:rPr>
          <w:sz w:val="24"/>
          <w:szCs w:val="24"/>
        </w:rPr>
      </w:pPr>
      <w:r w:rsidRPr="004903B0">
        <w:rPr>
          <w:rStyle w:val="FootnoteReference"/>
          <w:sz w:val="24"/>
          <w:szCs w:val="24"/>
        </w:rPr>
        <w:footnoteRef/>
      </w:r>
      <w:r w:rsidRPr="004903B0">
        <w:rPr>
          <w:sz w:val="24"/>
          <w:szCs w:val="24"/>
        </w:rPr>
        <w:t xml:space="preserve"> </w:t>
      </w:r>
      <w:r w:rsidRPr="004903B0">
        <w:rPr>
          <w:b/>
          <w:bCs/>
          <w:sz w:val="24"/>
          <w:szCs w:val="24"/>
        </w:rPr>
        <w:t>Ayrıca</w:t>
      </w:r>
      <w:r w:rsidRPr="004903B0">
        <w:rPr>
          <w:sz w:val="24"/>
          <w:szCs w:val="24"/>
        </w:rPr>
        <w:t xml:space="preserve"> </w:t>
      </w:r>
      <w:r w:rsidRPr="004903B0">
        <w:rPr>
          <w:i/>
          <w:iCs/>
          <w:sz w:val="24"/>
          <w:szCs w:val="24"/>
        </w:rPr>
        <w:t xml:space="preserve">(Bakınız: </w:t>
      </w:r>
      <w:r w:rsidRPr="009A1ECC">
        <w:rPr>
          <w:i/>
          <w:iCs/>
          <w:sz w:val="24"/>
          <w:szCs w:val="24"/>
          <w:highlight w:val="yellow"/>
        </w:rPr>
        <w:t>İman</w:t>
      </w:r>
      <w:r w:rsidR="002A5537">
        <w:rPr>
          <w:i/>
          <w:iCs/>
          <w:sz w:val="24"/>
          <w:szCs w:val="24"/>
        </w:rPr>
        <w:t xml:space="preserve">, </w:t>
      </w:r>
      <w:r w:rsidR="002A5537" w:rsidRPr="002A5537">
        <w:rPr>
          <w:i/>
          <w:iCs/>
          <w:sz w:val="24"/>
          <w:szCs w:val="24"/>
          <w:highlight w:val="yellow"/>
        </w:rPr>
        <w:t>Küfr</w:t>
      </w:r>
      <w:r>
        <w:rPr>
          <w:i/>
          <w:iCs/>
          <w:sz w:val="24"/>
          <w:szCs w:val="24"/>
        </w:rPr>
        <w:t xml:space="preserve"> ve </w:t>
      </w:r>
      <w:r w:rsidRPr="009A1ECC">
        <w:rPr>
          <w:i/>
          <w:iCs/>
          <w:sz w:val="24"/>
          <w:szCs w:val="24"/>
          <w:highlight w:val="yellow"/>
        </w:rPr>
        <w:t>Kafir</w:t>
      </w:r>
      <w:r w:rsidRPr="004903B0">
        <w:rPr>
          <w:i/>
          <w:iCs/>
          <w:sz w:val="24"/>
          <w:szCs w:val="24"/>
        </w:rPr>
        <w:t xml:space="preserve"> Derleme</w:t>
      </w:r>
      <w:r>
        <w:rPr>
          <w:i/>
          <w:iCs/>
          <w:sz w:val="24"/>
          <w:szCs w:val="24"/>
        </w:rPr>
        <w:t>ler</w:t>
      </w:r>
      <w:r w:rsidRPr="004903B0">
        <w:rPr>
          <w:i/>
          <w:iCs/>
          <w:sz w:val="24"/>
          <w:szCs w:val="24"/>
        </w:rPr>
        <w:t>i)</w:t>
      </w:r>
    </w:p>
  </w:footnote>
  <w:footnote w:id="3">
    <w:p w:rsidR="009A1ECC" w:rsidRDefault="009A1ECC" w:rsidP="0032744D">
      <w:pPr>
        <w:pStyle w:val="FootnoteText"/>
        <w:spacing w:before="120"/>
        <w:jc w:val="both"/>
      </w:pPr>
      <w:r>
        <w:rPr>
          <w:rStyle w:val="FootnoteReference"/>
        </w:rPr>
        <w:footnoteRef/>
      </w:r>
      <w:r>
        <w:t xml:space="preserve"> </w:t>
      </w:r>
      <w:r w:rsidR="0032744D" w:rsidRPr="004903B0">
        <w:rPr>
          <w:i/>
          <w:iCs/>
          <w:sz w:val="24"/>
          <w:szCs w:val="24"/>
        </w:rPr>
        <w:t xml:space="preserve">(Bakınız: </w:t>
      </w:r>
      <w:r w:rsidR="0032744D" w:rsidRPr="0032744D">
        <w:rPr>
          <w:i/>
          <w:iCs/>
          <w:sz w:val="24"/>
          <w:szCs w:val="24"/>
          <w:highlight w:val="yellow"/>
        </w:rPr>
        <w:t>Hakk</w:t>
      </w:r>
      <w:r w:rsidR="0032744D">
        <w:rPr>
          <w:i/>
          <w:iCs/>
          <w:sz w:val="24"/>
          <w:szCs w:val="24"/>
        </w:rPr>
        <w:t xml:space="preserve"> ve </w:t>
      </w:r>
      <w:r w:rsidR="0032744D" w:rsidRPr="0032744D">
        <w:rPr>
          <w:i/>
          <w:iCs/>
          <w:sz w:val="24"/>
          <w:szCs w:val="24"/>
          <w:highlight w:val="yellow"/>
        </w:rPr>
        <w:t>Ehl-i Hak</w:t>
      </w:r>
      <w:r w:rsidR="0032744D" w:rsidRPr="004903B0">
        <w:rPr>
          <w:i/>
          <w:iCs/>
          <w:sz w:val="24"/>
          <w:szCs w:val="24"/>
        </w:rPr>
        <w:t xml:space="preserve"> Derleme</w:t>
      </w:r>
      <w:r w:rsidR="0032744D">
        <w:rPr>
          <w:i/>
          <w:iCs/>
          <w:sz w:val="24"/>
          <w:szCs w:val="24"/>
        </w:rPr>
        <w:t>ler</w:t>
      </w:r>
      <w:r w:rsidR="0032744D" w:rsidRPr="004903B0">
        <w:rPr>
          <w:i/>
          <w:iCs/>
          <w:sz w:val="24"/>
          <w:szCs w:val="24"/>
        </w:rPr>
        <w:t>i)</w:t>
      </w:r>
    </w:p>
  </w:footnote>
  <w:footnote w:id="4">
    <w:p w:rsidR="009A1ECC" w:rsidRDefault="009A1ECC" w:rsidP="0032744D">
      <w:pPr>
        <w:pStyle w:val="FootnoteText"/>
        <w:spacing w:before="120"/>
        <w:jc w:val="both"/>
      </w:pPr>
      <w:r>
        <w:rPr>
          <w:rStyle w:val="FootnoteReference"/>
        </w:rPr>
        <w:footnoteRef/>
      </w:r>
      <w:r>
        <w:t xml:space="preserve"> </w:t>
      </w:r>
      <w:r w:rsidRPr="004903B0">
        <w:rPr>
          <w:i/>
          <w:iCs/>
          <w:sz w:val="24"/>
          <w:szCs w:val="24"/>
        </w:rPr>
        <w:t xml:space="preserve">(Bakınız: </w:t>
      </w:r>
      <w:r w:rsidRPr="009A1ECC">
        <w:rPr>
          <w:i/>
          <w:iCs/>
          <w:sz w:val="24"/>
          <w:szCs w:val="24"/>
          <w:highlight w:val="yellow"/>
        </w:rPr>
        <w:t>Bid’aların Felâketi</w:t>
      </w:r>
      <w:r>
        <w:rPr>
          <w:i/>
          <w:iCs/>
          <w:sz w:val="24"/>
          <w:szCs w:val="24"/>
        </w:rPr>
        <w:t xml:space="preserve"> ve </w:t>
      </w:r>
      <w:r w:rsidRPr="009A1ECC">
        <w:rPr>
          <w:i/>
          <w:iCs/>
          <w:sz w:val="24"/>
          <w:szCs w:val="24"/>
          <w:highlight w:val="yellow"/>
        </w:rPr>
        <w:t>Bid’at</w:t>
      </w:r>
      <w:r>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5">
    <w:p w:rsidR="0032744D" w:rsidRDefault="0032744D" w:rsidP="0032744D">
      <w:pPr>
        <w:spacing w:before="120" w:after="0" w:line="240" w:lineRule="auto"/>
        <w:jc w:val="both"/>
        <w:rPr>
          <w:sz w:val="24"/>
          <w:szCs w:val="24"/>
        </w:rPr>
      </w:pPr>
      <w:r>
        <w:rPr>
          <w:rStyle w:val="FootnoteReference"/>
        </w:rPr>
        <w:footnoteRef/>
      </w:r>
      <w:r>
        <w:t xml:space="preserve"> </w:t>
      </w:r>
      <w:r>
        <w:rPr>
          <w:sz w:val="24"/>
          <w:szCs w:val="24"/>
        </w:rPr>
        <w:t>“</w:t>
      </w:r>
      <w:r w:rsidRPr="0032744D">
        <w:rPr>
          <w:sz w:val="24"/>
          <w:szCs w:val="24"/>
        </w:rPr>
        <w:t xml:space="preserve">Hem mektubunuzda "yedi kebair"i soruyorsunuz. Kebair çoktur, fakat ekber-ül kebair ve mubikat-ı seb'a tabir edilen günahlar yedidir: "Katl, zina, şarab, ukuk-u vâlideyn (yani kat'-ı sıla-yı rahm), kumar, yalancı şehadetlik, </w:t>
      </w:r>
      <w:r w:rsidRPr="00CB591C">
        <w:rPr>
          <w:b/>
          <w:bCs/>
          <w:sz w:val="24"/>
          <w:szCs w:val="24"/>
        </w:rPr>
        <w:t>dine zarar verecek bid'alara tarafdar olmak</w:t>
      </w:r>
      <w:r w:rsidRPr="0032744D">
        <w:rPr>
          <w:sz w:val="24"/>
          <w:szCs w:val="24"/>
        </w:rPr>
        <w:t>"tır.</w:t>
      </w:r>
      <w:r>
        <w:rPr>
          <w:sz w:val="24"/>
          <w:szCs w:val="24"/>
        </w:rPr>
        <w:t xml:space="preserve">” </w:t>
      </w:r>
      <w:r w:rsidRPr="0032744D">
        <w:rPr>
          <w:b/>
          <w:bCs/>
          <w:sz w:val="24"/>
          <w:szCs w:val="24"/>
        </w:rPr>
        <w:t>Barla Lahikası (</w:t>
      </w:r>
      <w:r w:rsidRPr="0032744D">
        <w:rPr>
          <w:b/>
          <w:bCs/>
          <w:sz w:val="24"/>
          <w:szCs w:val="24"/>
        </w:rPr>
        <w:t>335)</w:t>
      </w:r>
    </w:p>
    <w:p w:rsidR="0032744D" w:rsidRDefault="0032744D" w:rsidP="0032744D">
      <w:pPr>
        <w:pStyle w:val="FootnoteText"/>
        <w:spacing w:before="120"/>
      </w:pPr>
      <w:r w:rsidRPr="004903B0">
        <w:rPr>
          <w:b/>
          <w:bCs/>
          <w:sz w:val="24"/>
          <w:szCs w:val="24"/>
        </w:rPr>
        <w:t>Ayrıca</w:t>
      </w:r>
      <w:r w:rsidRPr="004903B0">
        <w:rPr>
          <w:sz w:val="24"/>
          <w:szCs w:val="24"/>
        </w:rPr>
        <w:t xml:space="preserve"> </w:t>
      </w:r>
      <w:r w:rsidRPr="004903B0">
        <w:rPr>
          <w:i/>
          <w:iCs/>
          <w:sz w:val="24"/>
          <w:szCs w:val="24"/>
        </w:rPr>
        <w:t xml:space="preserve">(Bakınız: </w:t>
      </w:r>
      <w:r w:rsidRPr="0032744D">
        <w:rPr>
          <w:i/>
          <w:iCs/>
          <w:sz w:val="24"/>
          <w:szCs w:val="24"/>
          <w:highlight w:val="yellow"/>
        </w:rPr>
        <w:t>Tarafgirlik</w:t>
      </w:r>
      <w:r>
        <w:rPr>
          <w:i/>
          <w:iCs/>
          <w:sz w:val="24"/>
          <w:szCs w:val="24"/>
        </w:rPr>
        <w:t xml:space="preserve"> ve</w:t>
      </w:r>
      <w:r w:rsidRPr="004903B0">
        <w:rPr>
          <w:i/>
          <w:iCs/>
          <w:sz w:val="24"/>
          <w:szCs w:val="24"/>
        </w:rPr>
        <w:t xml:space="preserve"> </w:t>
      </w:r>
      <w:r w:rsidRPr="009A1ECC">
        <w:rPr>
          <w:i/>
          <w:iCs/>
          <w:sz w:val="24"/>
          <w:szCs w:val="24"/>
          <w:highlight w:val="yellow"/>
        </w:rPr>
        <w:t>Âlet Edilmek ve Alet Olmak</w:t>
      </w:r>
      <w:r>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6">
    <w:p w:rsidR="009A1ECC" w:rsidRDefault="009A1ECC" w:rsidP="0032744D">
      <w:pPr>
        <w:spacing w:before="120" w:after="0" w:line="240" w:lineRule="auto"/>
        <w:jc w:val="both"/>
      </w:pPr>
      <w:r>
        <w:rPr>
          <w:rStyle w:val="FootnoteReference"/>
        </w:rPr>
        <w:footnoteRef/>
      </w:r>
      <w:r>
        <w:t xml:space="preserve"> </w:t>
      </w:r>
      <w:r>
        <w:rPr>
          <w:sz w:val="24"/>
          <w:szCs w:val="24"/>
        </w:rPr>
        <w:t>“</w:t>
      </w:r>
      <w:r w:rsidRPr="009A1ECC">
        <w:rPr>
          <w:sz w:val="24"/>
          <w:szCs w:val="24"/>
        </w:rPr>
        <w:t>bilhâssa terbiye-i İslâmiye haricinde, müslüman namı altında olanlar</w:t>
      </w:r>
      <w:r>
        <w:rPr>
          <w:sz w:val="24"/>
          <w:szCs w:val="24"/>
        </w:rPr>
        <w:t xml:space="preserve">…” </w:t>
      </w:r>
      <w:r w:rsidRPr="009A1ECC">
        <w:rPr>
          <w:b/>
          <w:bCs/>
          <w:sz w:val="24"/>
          <w:szCs w:val="24"/>
        </w:rPr>
        <w:t>Kastamonu Lahikası (</w:t>
      </w:r>
      <w:r w:rsidRPr="009A1ECC">
        <w:rPr>
          <w:b/>
          <w:bCs/>
          <w:sz w:val="24"/>
          <w:szCs w:val="24"/>
        </w:rPr>
        <w:t>252)</w:t>
      </w:r>
    </w:p>
  </w:footnote>
  <w:footnote w:id="7">
    <w:p w:rsidR="009A1ECC" w:rsidRDefault="009A1ECC" w:rsidP="0032744D">
      <w:pPr>
        <w:pStyle w:val="FootnoteText"/>
        <w:spacing w:before="120"/>
        <w:jc w:val="both"/>
      </w:pPr>
      <w:r>
        <w:rPr>
          <w:rStyle w:val="FootnoteReference"/>
        </w:rPr>
        <w:footnoteRef/>
      </w:r>
      <w:r>
        <w:t xml:space="preserve"> </w:t>
      </w:r>
      <w:r w:rsidRPr="004903B0">
        <w:rPr>
          <w:i/>
          <w:iCs/>
          <w:sz w:val="24"/>
          <w:szCs w:val="24"/>
        </w:rPr>
        <w:t xml:space="preserve">(Bakınız: </w:t>
      </w:r>
      <w:r w:rsidRPr="009A1ECC">
        <w:rPr>
          <w:i/>
          <w:iCs/>
          <w:sz w:val="24"/>
          <w:szCs w:val="24"/>
          <w:highlight w:val="yellow"/>
        </w:rPr>
        <w:t>Bilerek Veya Bilmeyerek İşlenen Fiiller</w:t>
      </w:r>
      <w:r>
        <w:rPr>
          <w:i/>
          <w:iCs/>
          <w:sz w:val="24"/>
          <w:szCs w:val="24"/>
        </w:rPr>
        <w:t xml:space="preserve"> </w:t>
      </w:r>
      <w:r w:rsidRPr="004903B0">
        <w:rPr>
          <w:i/>
          <w:iCs/>
          <w:sz w:val="24"/>
          <w:szCs w:val="24"/>
        </w:rPr>
        <w:t>Derleme</w:t>
      </w:r>
      <w:r w:rsidR="0032744D">
        <w:rPr>
          <w:i/>
          <w:iCs/>
          <w:sz w:val="24"/>
          <w:szCs w:val="24"/>
        </w:rPr>
        <w:t>s</w:t>
      </w:r>
      <w:r w:rsidRPr="004903B0">
        <w:rPr>
          <w:i/>
          <w:iCs/>
          <w:sz w:val="24"/>
          <w:szCs w:val="24"/>
        </w:rPr>
        <w:t>i)</w:t>
      </w:r>
    </w:p>
  </w:footnote>
  <w:footnote w:id="8">
    <w:p w:rsidR="009A1ECC" w:rsidRDefault="009A1ECC" w:rsidP="0032744D">
      <w:pPr>
        <w:spacing w:before="120" w:after="0" w:line="240" w:lineRule="auto"/>
        <w:jc w:val="both"/>
        <w:rPr>
          <w:b/>
          <w:bCs/>
          <w:sz w:val="24"/>
          <w:szCs w:val="24"/>
        </w:rPr>
      </w:pPr>
      <w:r>
        <w:rPr>
          <w:rStyle w:val="FootnoteReference"/>
        </w:rPr>
        <w:footnoteRef/>
      </w:r>
      <w:r>
        <w:t xml:space="preserve"> </w:t>
      </w:r>
      <w:r w:rsidR="0032744D">
        <w:rPr>
          <w:sz w:val="24"/>
          <w:szCs w:val="24"/>
        </w:rPr>
        <w:t>“</w:t>
      </w:r>
      <w:r w:rsidR="0032744D" w:rsidRPr="0032744D">
        <w:rPr>
          <w:sz w:val="24"/>
          <w:szCs w:val="24"/>
        </w:rPr>
        <w:t>Peygamber'i işiten ve davasını bilen adamlar onu tasdik etmezse, Cenab-ı Hakk'ı tanımaz. Onun hakkında, yalnız Lâ ilahe illallah kelâmı, sebeb-i necat olan tevhidi ifade edemez. Çünki o hal, bir derece medar-ı özür olan cahilane adem-i kabul değil, belki o kabul-ü ademdir ve o inkârdır. Mu'cizatıyla, âsârıyla kâinatın medar-ı fahri ve nev'-i beşerin medar-ı şerefi olan Muhammed Aleyhissalâtü Vesselâm'ı inkâr eden adam, elbette hiçbir cihette hiçbir nura ma</w:t>
      </w:r>
      <w:r w:rsidR="0032744D">
        <w:rPr>
          <w:sz w:val="24"/>
          <w:szCs w:val="24"/>
        </w:rPr>
        <w:t xml:space="preserve">zhar olamaz ve Allah'ı tanımaz.” </w:t>
      </w:r>
      <w:r w:rsidR="0032744D" w:rsidRPr="0032744D">
        <w:rPr>
          <w:b/>
          <w:bCs/>
          <w:sz w:val="24"/>
          <w:szCs w:val="24"/>
        </w:rPr>
        <w:t>Mektubat (</w:t>
      </w:r>
      <w:r w:rsidR="0032744D" w:rsidRPr="0032744D">
        <w:rPr>
          <w:b/>
          <w:bCs/>
          <w:sz w:val="24"/>
          <w:szCs w:val="24"/>
        </w:rPr>
        <w:t>336)</w:t>
      </w:r>
    </w:p>
    <w:p w:rsidR="0032744D" w:rsidRPr="0032744D" w:rsidRDefault="0032744D" w:rsidP="0032744D">
      <w:pPr>
        <w:spacing w:before="120" w:after="0" w:line="240" w:lineRule="auto"/>
        <w:jc w:val="both"/>
        <w:rPr>
          <w:sz w:val="24"/>
          <w:szCs w:val="24"/>
        </w:rPr>
      </w:pPr>
      <w:r w:rsidRPr="0032744D">
        <w:rPr>
          <w:sz w:val="24"/>
          <w:szCs w:val="24"/>
        </w:rPr>
        <w:t>“</w:t>
      </w:r>
      <w:r w:rsidRPr="0032744D">
        <w:rPr>
          <w:b/>
          <w:bCs/>
          <w:sz w:val="24"/>
          <w:szCs w:val="24"/>
        </w:rPr>
        <w:t xml:space="preserve">S- </w:t>
      </w:r>
      <w:r w:rsidRPr="0032744D">
        <w:rPr>
          <w:sz w:val="24"/>
          <w:szCs w:val="24"/>
        </w:rPr>
        <w:t>Küfür, cehildir. Halbuki kâfirler, Hazret-i Muhammed'i (A.S.M.) evlâdları kadar tanıyorlardı?</w:t>
      </w:r>
    </w:p>
    <w:p w:rsidR="0032744D" w:rsidRDefault="0032744D" w:rsidP="0032744D">
      <w:pPr>
        <w:spacing w:before="120" w:after="0" w:line="240" w:lineRule="auto"/>
        <w:jc w:val="both"/>
        <w:rPr>
          <w:b/>
          <w:bCs/>
          <w:sz w:val="24"/>
          <w:szCs w:val="24"/>
        </w:rPr>
      </w:pPr>
      <w:r w:rsidRPr="0032744D">
        <w:rPr>
          <w:b/>
          <w:bCs/>
          <w:sz w:val="24"/>
          <w:szCs w:val="24"/>
        </w:rPr>
        <w:t xml:space="preserve">C- </w:t>
      </w:r>
      <w:r w:rsidRPr="0032744D">
        <w:rPr>
          <w:sz w:val="24"/>
          <w:szCs w:val="24"/>
        </w:rPr>
        <w:t>Küfür, iki kısımdır. Bir kısmı, bilmediği için inkâr eder; ikincisi, bildiği halde inkâr eder. Bu da, birkaç şubedir. Birincisi; bilir lâkin</w:t>
      </w:r>
      <w:r>
        <w:rPr>
          <w:sz w:val="24"/>
          <w:szCs w:val="24"/>
        </w:rPr>
        <w:t xml:space="preserve"> </w:t>
      </w:r>
      <w:r w:rsidRPr="0032744D">
        <w:rPr>
          <w:sz w:val="24"/>
          <w:szCs w:val="24"/>
        </w:rPr>
        <w:t>kabul etmez. İkincisi; yakîni var, lâkin itikadı yoktur. Üçüncüsü; tasdiki var, lâkin vicdanî iz'anı yoktur.</w:t>
      </w:r>
      <w:r>
        <w:rPr>
          <w:sz w:val="24"/>
          <w:szCs w:val="24"/>
        </w:rPr>
        <w:t xml:space="preserve">” </w:t>
      </w:r>
      <w:r w:rsidRPr="0032744D">
        <w:rPr>
          <w:b/>
          <w:bCs/>
          <w:sz w:val="24"/>
          <w:szCs w:val="24"/>
        </w:rPr>
        <w:t>İşarat-ül İ'caz (66 - 67)</w:t>
      </w:r>
    </w:p>
    <w:p w:rsidR="002A5537" w:rsidRPr="002A5537" w:rsidRDefault="002A5537" w:rsidP="002A5537">
      <w:pPr>
        <w:spacing w:before="120" w:after="0" w:line="240" w:lineRule="auto"/>
        <w:jc w:val="both"/>
        <w:rPr>
          <w:b/>
          <w:bCs/>
          <w:sz w:val="24"/>
          <w:szCs w:val="24"/>
        </w:rPr>
      </w:pPr>
      <w:r w:rsidRPr="002A5537">
        <w:rPr>
          <w:sz w:val="24"/>
          <w:szCs w:val="24"/>
        </w:rPr>
        <w:t>“</w:t>
      </w:r>
      <w:r w:rsidRPr="002A5537">
        <w:rPr>
          <w:b/>
          <w:bCs/>
          <w:sz w:val="24"/>
          <w:szCs w:val="24"/>
        </w:rPr>
        <w:t xml:space="preserve">S- </w:t>
      </w:r>
      <w:r w:rsidRPr="002A5537">
        <w:rPr>
          <w:sz w:val="24"/>
          <w:szCs w:val="24"/>
        </w:rPr>
        <w:t>Küfür, kalbe ait bir sıfattır. Kalbde o sıfat bulunmadığı takdirde, zünnar bağlanmasından veya ona kıyas edilen şapkanın giyilmesinden ne için küfür hasıl olsun?</w:t>
      </w:r>
    </w:p>
    <w:p w:rsidR="002A5537" w:rsidRDefault="002A5537" w:rsidP="002A5537">
      <w:pPr>
        <w:spacing w:before="120" w:after="0" w:line="240" w:lineRule="auto"/>
        <w:jc w:val="both"/>
        <w:rPr>
          <w:b/>
          <w:bCs/>
          <w:sz w:val="24"/>
          <w:szCs w:val="24"/>
        </w:rPr>
      </w:pPr>
      <w:r w:rsidRPr="002A5537">
        <w:rPr>
          <w:b/>
          <w:bCs/>
          <w:sz w:val="24"/>
          <w:szCs w:val="24"/>
        </w:rPr>
        <w:t xml:space="preserve">C- </w:t>
      </w:r>
      <w:r w:rsidRPr="002A5537">
        <w:rPr>
          <w:sz w:val="24"/>
          <w:szCs w:val="24"/>
        </w:rPr>
        <w:t>Gizli olan umûra, şeriat emarelere göre hükmeder. Hattâ illet olmayan esbab-ı zahirîyi, illet yerine kabul eder. Binaenaleyh itmam-ı rükûa mani olan bir kısım zünnarların bağlanması ve secdenin ikmaline mani olan bazı şapkaların giyilmesi, ubudiyetten istiğna ve küfre teşebbüh etmeye emarelerdir. Gizli olan o sıfat-ı küfriyenin yok olduğuna kat'iyyetle hükmedilemediğinden, bu gibi emarelere göre hükmedilir.</w:t>
      </w:r>
      <w:r>
        <w:rPr>
          <w:sz w:val="24"/>
          <w:szCs w:val="24"/>
        </w:rPr>
        <w:t xml:space="preserve">” </w:t>
      </w:r>
      <w:r w:rsidRPr="002A5537">
        <w:rPr>
          <w:b/>
          <w:bCs/>
          <w:sz w:val="24"/>
          <w:szCs w:val="24"/>
        </w:rPr>
        <w:t>İşarat-ül İ'caz (67)</w:t>
      </w:r>
    </w:p>
    <w:p w:rsidR="002A5537" w:rsidRPr="002A5537" w:rsidRDefault="002A5537" w:rsidP="002A5537">
      <w:pPr>
        <w:spacing w:before="120" w:after="0" w:line="240" w:lineRule="auto"/>
        <w:jc w:val="both"/>
        <w:rPr>
          <w:sz w:val="24"/>
          <w:szCs w:val="24"/>
        </w:rPr>
      </w:pPr>
      <w:r w:rsidRPr="002A5537">
        <w:rPr>
          <w:sz w:val="24"/>
          <w:szCs w:val="24"/>
        </w:rPr>
        <w:t>“</w:t>
      </w:r>
      <w:r w:rsidRPr="002A5537">
        <w:rPr>
          <w:sz w:val="24"/>
          <w:szCs w:val="24"/>
        </w:rPr>
        <w:t xml:space="preserve">Halbuki Allah'ı bilmek, bütün kâinata ihata eden rububiyetine ve zerrelerden yıldızlara kadar cüz'î ve küllî herşey onun kabza-i tasarrufunda ve kudret ve iradesiyle olduğuna kat'î iman etmek ve mülkünde hiçbir şeriki olmadığına ve "Lâ ilahe illallah" kelime-i kudsiyesine, hakikatlarına iman etmek, kalben tasdik etmekle olur. Yoksa "Bir Allah var" deyip, bütün mülkünü esbaba ve tabiata taksim etmek ve onlara isnad etmek, hâşâ hadsiz şerikleri hükmünde esbabı merci' tanımak ve herşeyin yanında hazır irade ve ilmini bilmemek ve şiddetli emirlerini tanımamak ve sıfatlarını ve gönderdiği elçilerini, peygamberlerini bilmemek, </w:t>
      </w:r>
      <w:r w:rsidRPr="002A5537">
        <w:rPr>
          <w:b/>
          <w:bCs/>
          <w:sz w:val="24"/>
          <w:szCs w:val="24"/>
        </w:rPr>
        <w:t>elbette hiçbir cihette Allah'a iman hakikatı onda yoktur</w:t>
      </w:r>
      <w:r w:rsidRPr="002A5537">
        <w:rPr>
          <w:sz w:val="24"/>
          <w:szCs w:val="24"/>
        </w:rPr>
        <w:t>. Belki küfr-ü mutlaktaki manevî cehennemin dünyevî tazibinden kendini bir derece teselliye almak için o sözleri söyler.</w:t>
      </w:r>
    </w:p>
    <w:p w:rsidR="002A5537" w:rsidRPr="002A5537" w:rsidRDefault="002A5537" w:rsidP="002A5537">
      <w:pPr>
        <w:spacing w:before="120" w:after="0" w:line="240" w:lineRule="auto"/>
        <w:jc w:val="both"/>
        <w:rPr>
          <w:sz w:val="24"/>
          <w:szCs w:val="24"/>
        </w:rPr>
      </w:pPr>
      <w:r w:rsidRPr="002A5537">
        <w:rPr>
          <w:sz w:val="24"/>
          <w:szCs w:val="24"/>
        </w:rPr>
        <w:t>Evet inkâr etmemek başkadır, iman etmek bütün bütün başkadır.</w:t>
      </w:r>
    </w:p>
    <w:p w:rsidR="002A5537" w:rsidRDefault="002A5537" w:rsidP="002A5537">
      <w:pPr>
        <w:spacing w:before="120" w:after="0" w:line="240" w:lineRule="auto"/>
        <w:jc w:val="both"/>
        <w:rPr>
          <w:b/>
          <w:bCs/>
          <w:sz w:val="24"/>
          <w:szCs w:val="24"/>
        </w:rPr>
      </w:pPr>
      <w:r w:rsidRPr="002A5537">
        <w:rPr>
          <w:sz w:val="24"/>
          <w:szCs w:val="24"/>
        </w:rPr>
        <w:t>Evet kâinatta hiçbir zîşuur, kâinatın bütün eczası kadar şahidleri bulunan Hâlık-ı Zülcelal'i inkâr edemez. Etse, bütün kâinat onu tekzib edeceği için susar, lâkayd kalır. Fakat ona iman etmek: Kur'an-ı Azîmüşşan'ın ders verdiği gibi, o Hâlık'ı sıfatları ile, isimleri ile umum kâinatın şehadetine istinaden kalben tasdik etmek ve elçileriyle gönderdiği emirleri tanımak; ve günah ve emre muhalefet ettiği vakit, kalben tövbe ve nedamet etmek iledir. Yoksa, büyük günahları serbest işleyip istiğfar etmemek ve aldırmamak, o imand</w:t>
      </w:r>
      <w:r>
        <w:rPr>
          <w:sz w:val="24"/>
          <w:szCs w:val="24"/>
        </w:rPr>
        <w:t xml:space="preserve">an hissesi olmadığına delildir.” </w:t>
      </w:r>
      <w:r w:rsidRPr="002A5537">
        <w:rPr>
          <w:b/>
          <w:bCs/>
          <w:sz w:val="24"/>
          <w:szCs w:val="24"/>
        </w:rPr>
        <w:t>Emirdağ Lahikası-1 (203)</w:t>
      </w:r>
    </w:p>
    <w:p w:rsidR="0032744D" w:rsidRDefault="0032744D" w:rsidP="0032744D">
      <w:pPr>
        <w:spacing w:before="120" w:after="0" w:line="240" w:lineRule="auto"/>
        <w:jc w:val="both"/>
      </w:pPr>
      <w:r w:rsidRPr="004903B0">
        <w:rPr>
          <w:b/>
          <w:bCs/>
          <w:sz w:val="24"/>
          <w:szCs w:val="24"/>
        </w:rPr>
        <w:t>Ayrıca</w:t>
      </w:r>
      <w:r w:rsidRPr="004903B0">
        <w:rPr>
          <w:sz w:val="24"/>
          <w:szCs w:val="24"/>
        </w:rPr>
        <w:t xml:space="preserve"> </w:t>
      </w:r>
      <w:r w:rsidRPr="004903B0">
        <w:rPr>
          <w:i/>
          <w:iCs/>
          <w:sz w:val="24"/>
          <w:szCs w:val="24"/>
        </w:rPr>
        <w:t xml:space="preserve">(Bakınız: </w:t>
      </w:r>
      <w:r w:rsidRPr="0032744D">
        <w:rPr>
          <w:i/>
          <w:iCs/>
          <w:sz w:val="24"/>
          <w:szCs w:val="24"/>
          <w:highlight w:val="yellow"/>
        </w:rPr>
        <w:t>Tekfir Ve İnkâr Meselesi</w:t>
      </w:r>
      <w:r>
        <w:rPr>
          <w:i/>
          <w:iCs/>
          <w:sz w:val="24"/>
          <w:szCs w:val="24"/>
        </w:rPr>
        <w:t xml:space="preserve"> </w:t>
      </w:r>
      <w:r w:rsidRPr="004903B0">
        <w:rPr>
          <w:i/>
          <w:iCs/>
          <w:sz w:val="24"/>
          <w:szCs w:val="24"/>
        </w:rPr>
        <w:t>Derleme</w:t>
      </w:r>
      <w:r>
        <w:rPr>
          <w:i/>
          <w:iCs/>
          <w:sz w:val="24"/>
          <w:szCs w:val="24"/>
        </w:rPr>
        <w:t>s</w:t>
      </w:r>
      <w:r w:rsidRPr="004903B0">
        <w:rPr>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A1ECC"/>
    <w:rsid w:val="001F4625"/>
    <w:rsid w:val="002A5537"/>
    <w:rsid w:val="0032744D"/>
    <w:rsid w:val="00446679"/>
    <w:rsid w:val="0069323D"/>
    <w:rsid w:val="009A1ECC"/>
    <w:rsid w:val="00CB591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A1ECC"/>
    <w:rPr>
      <w:vertAlign w:val="superscript"/>
    </w:rPr>
  </w:style>
  <w:style w:type="paragraph" w:styleId="FootnoteText">
    <w:name w:val="footnote text"/>
    <w:basedOn w:val="Normal"/>
    <w:link w:val="FootnoteTextChar"/>
    <w:uiPriority w:val="99"/>
    <w:semiHidden/>
    <w:unhideWhenUsed/>
    <w:rsid w:val="009A1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EC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2BCA-B7B2-4892-8768-9D0865C8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2024-01-16T18:50:00Z</dcterms:created>
  <dcterms:modified xsi:type="dcterms:W3CDTF">2024-01-16T19:27:00Z</dcterms:modified>
</cp:coreProperties>
</file>